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844"/>
      </w:tblGrid>
      <w:tr w:rsidR="00FE05A8" w:rsidRPr="00F105A3" w:rsidTr="00FC72F6">
        <w:tc>
          <w:tcPr>
            <w:tcW w:w="9212" w:type="dxa"/>
            <w:gridSpan w:val="2"/>
          </w:tcPr>
          <w:p w:rsidR="00FE05A8" w:rsidRPr="00F105A3" w:rsidRDefault="00FE05A8" w:rsidP="00FE05A8">
            <w:pPr>
              <w:pStyle w:val="Nagwek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Izabela </w:t>
            </w:r>
            <w:proofErr w:type="spellStart"/>
            <w:r>
              <w:rPr>
                <w:rFonts w:eastAsia="Times New Roman"/>
                <w:lang w:eastAsia="pl-PL"/>
              </w:rPr>
              <w:t>Koryś</w:t>
            </w:r>
            <w:bookmarkStart w:id="0" w:name="_GoBack"/>
            <w:bookmarkEnd w:id="0"/>
            <w:proofErr w:type="spellEnd"/>
            <w:r>
              <w:rPr>
                <w:rFonts w:eastAsia="Times New Roman"/>
                <w:lang w:eastAsia="pl-PL"/>
              </w:rPr>
              <w:br/>
              <w:t>Wybrane publikacje naukowe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Współautorstwo (z Januszem Kosteckim) hasła “Czytelnictwo współczesne. Badania czytelnictwa” do Encyklopedii Książki</w:t>
            </w:r>
          </w:p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2013, A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Social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Map of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Readership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Polish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Libaries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, vol. 1  http://polishlibraries.pl/article.php?a=1  </w:t>
            </w:r>
          </w:p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, Dawidowicz-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Chymkowska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O. 2013, Społeczny zasięg książki w Polsce w 2010 roku, Warszawa: Biblioteka Narodowa   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2012, O co tyle szumu? Metodologiczne kulisy badania czytelnictwa Biblioteki Narodowej, artykuł pokonferencyjny SPSS Polska</w:t>
            </w:r>
          </w:p>
        </w:tc>
      </w:tr>
      <w:tr w:rsidR="00FE05A8" w:rsidRPr="00FE05A8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7844" w:type="dxa"/>
            <w:hideMark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Kicinger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A.,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I. 2011, „The case of Poland” w: G.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Zincone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, R.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Penninx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&amp; M.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Borket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(red.) Migratory policy-making in Europe: The Dynamic of Actors and Contexts in Past and Present, Amsterdam: Amsterdam University Press: 347-376 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Wolff K. 2010, Wybieram książkę: Społeczny zasięg książki w Polsce w 2008 roku, Warszawa: Biblioteka Narodowa </w:t>
            </w:r>
          </w:p>
        </w:tc>
      </w:tr>
      <w:tr w:rsidR="00FE05A8" w:rsidRPr="00F105A3" w:rsidTr="00FC72F6">
        <w:tc>
          <w:tcPr>
            <w:tcW w:w="1368" w:type="dxa"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2010, „Kobiety-imigrantki: warunki udanej integracji”, Analizy i Opinie, Warszawa: Instytut Spraw Publicznych </w:t>
            </w:r>
          </w:p>
        </w:tc>
      </w:tr>
      <w:tr w:rsidR="00FE05A8" w:rsidRPr="00FE05A8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7844" w:type="dxa"/>
            <w:hideMark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Bijak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J.,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I. 2009, „Poland” in: H.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Fassman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, U.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Reeger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&amp; W.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Sievers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(red.) Statistics and Reality: Concepts and Measurements of Migration in Europe, Amsterdam: Amsterdam University Press: 195-215 </w:t>
            </w:r>
          </w:p>
        </w:tc>
      </w:tr>
      <w:tr w:rsidR="00FE05A8" w:rsidRPr="00F105A3" w:rsidTr="00FC72F6">
        <w:tc>
          <w:tcPr>
            <w:tcW w:w="1368" w:type="dxa"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Górny A.,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2009, „O pożytkach podejścia jakościowego w badaniach nad migracjami”, Studia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Migracyjne-Przegląd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Polonijny, 129 (1): 27-45 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2007, Audyt umiejętności osób ubiegających się o status uchodźcy, Warszawa: Międzynarodowa Organizacja ds. Migracji.</w:t>
            </w:r>
          </w:p>
        </w:tc>
      </w:tr>
      <w:tr w:rsidR="00FE05A8" w:rsidRPr="00F105A3" w:rsidTr="00FC72F6">
        <w:tc>
          <w:tcPr>
            <w:tcW w:w="1368" w:type="dxa"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 2007, Między instrumentalnym a symbolicznym wymiarem posiadania drugiego obywatelstwa, [w:] A. Górny, P.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(red.), Obywatelstwo wielokrotnego wyboru, Seria Studia Migracyjne, Warszawa: Wydawnictwa Uniwersytetu Warszawskiego: 92-115. </w:t>
            </w:r>
          </w:p>
        </w:tc>
      </w:tr>
      <w:tr w:rsidR="00FE05A8" w:rsidRPr="00FE05A8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7844" w:type="dxa"/>
            <w:hideMark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Bijak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J., </w:t>
            </w: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I. 2006, Statistics or reality? International migration in Poland, CEFMR Working Paper 3/2006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I., Antoniewski R., 2005. "Kraj perspektyw realnych" - migranci zarobkowi o swoim życiu i pracy w Polsce, Przegląd Polonijny 117 (3): 77-100.</w:t>
            </w:r>
          </w:p>
        </w:tc>
      </w:tr>
      <w:tr w:rsidR="00FE05A8" w:rsidRPr="00FE05A8" w:rsidTr="00FC72F6">
        <w:tc>
          <w:tcPr>
            <w:tcW w:w="1368" w:type="dxa"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</w:p>
        </w:tc>
        <w:tc>
          <w:tcPr>
            <w:tcW w:w="7844" w:type="dxa"/>
            <w:hideMark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  <w:proofErr w:type="spellStart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  <w:t xml:space="preserve"> I. 2005, Country Report of Poland, [in:] Dimensions of Integration: Migrant Youth in Central European Countries, IOM, Vienna: 147-182.</w:t>
            </w:r>
          </w:p>
        </w:tc>
      </w:tr>
      <w:tr w:rsidR="00FE05A8" w:rsidRPr="00FE05A8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7844" w:type="dxa"/>
            <w:hideMark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 I. 2004, „Irregular Migration. The Dilemmas of Transnational Mobility”, by B. Jordan and F. </w:t>
            </w: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Düvell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 (</w:t>
            </w: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recenzja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), </w:t>
            </w: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Geographia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Polonica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 77 (1): 104-108.</w:t>
            </w:r>
          </w:p>
        </w:tc>
      </w:tr>
      <w:tr w:rsidR="00FE05A8" w:rsidRPr="00F105A3" w:rsidTr="00FC72F6">
        <w:trPr>
          <w:trHeight w:val="855"/>
        </w:trPr>
        <w:tc>
          <w:tcPr>
            <w:tcW w:w="1368" w:type="dxa"/>
          </w:tcPr>
          <w:p w:rsidR="00FE05A8" w:rsidRPr="00FE05A8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val="en-US" w:eastAsia="pl-PL"/>
              </w:rPr>
            </w:pPr>
          </w:p>
        </w:tc>
        <w:tc>
          <w:tcPr>
            <w:tcW w:w="7844" w:type="dxa"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>Koryś</w:t>
            </w:r>
            <w:proofErr w:type="spellEnd"/>
            <w:r w:rsidRPr="00FE05A8">
              <w:rPr>
                <w:rFonts w:ascii="Arial" w:eastAsia="Times New Roman" w:hAnsi="Arial"/>
                <w:color w:val="525252"/>
                <w:sz w:val="18"/>
                <w:szCs w:val="18"/>
                <w:lang w:val="en-US" w:eastAsia="pl-PL"/>
              </w:rPr>
              <w:t xml:space="preserve"> I. 2004, Poland - Dilemmas of a Sending and Receiving Country, Migration Trends in Selected EU Applicant Countries, Vol. </w:t>
            </w:r>
            <w:r w:rsidRPr="00F105A3">
              <w:rPr>
                <w:rFonts w:ascii="Arial" w:eastAsia="Times New Roman" w:hAnsi="Arial"/>
                <w:color w:val="525252"/>
                <w:sz w:val="18"/>
                <w:szCs w:val="18"/>
                <w:lang w:eastAsia="pl-PL"/>
              </w:rPr>
              <w:t xml:space="preserve">III, IOM, </w:t>
            </w:r>
            <w:proofErr w:type="spellStart"/>
            <w:r w:rsidRPr="00F105A3">
              <w:rPr>
                <w:rFonts w:ascii="Arial" w:eastAsia="Times New Roman" w:hAnsi="Arial"/>
                <w:color w:val="525252"/>
                <w:sz w:val="18"/>
                <w:szCs w:val="18"/>
                <w:lang w:eastAsia="pl-PL"/>
              </w:rPr>
              <w:t>Vienna</w:t>
            </w:r>
            <w:proofErr w:type="spellEnd"/>
            <w:r w:rsidRPr="00F105A3">
              <w:rPr>
                <w:rFonts w:ascii="Arial" w:eastAsia="Times New Roman" w:hAnsi="Arial"/>
                <w:color w:val="525252"/>
                <w:sz w:val="18"/>
                <w:szCs w:val="18"/>
                <w:lang w:eastAsia="pl-PL"/>
              </w:rPr>
              <w:t>.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I, 2002. „W pół drogi - specyfika migracji powrotnych z Niemiec” [w:] K.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Iglicka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(ed.) Migracje powrotne Polaków. Powroty sukcesu czy rozczarowania?, Warszawa: Instytut Spraw Publicznych.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I, 2000. „Mam na imię Zbyszek, jestem domatorem: podstawowe komponenty tożsamości społecznych” [w:] Mirosława </w:t>
            </w: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Marody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(red.) Między rynkiem a etatem, Warszawa: Scholar.</w:t>
            </w:r>
          </w:p>
        </w:tc>
      </w:tr>
      <w:tr w:rsidR="00FE05A8" w:rsidRPr="00F105A3" w:rsidTr="00FC72F6">
        <w:tc>
          <w:tcPr>
            <w:tcW w:w="1368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7844" w:type="dxa"/>
            <w:hideMark/>
          </w:tcPr>
          <w:p w:rsidR="00FE05A8" w:rsidRPr="00F105A3" w:rsidRDefault="00FE05A8" w:rsidP="00FC72F6">
            <w:pPr>
              <w:spacing w:after="210" w:line="288" w:lineRule="atLeast"/>
              <w:textAlignment w:val="baseline"/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</w:pPr>
            <w:proofErr w:type="spellStart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>Koryś</w:t>
            </w:r>
            <w:proofErr w:type="spellEnd"/>
            <w:r w:rsidRPr="00F105A3">
              <w:rPr>
                <w:rFonts w:ascii="Arial" w:eastAsia="Times New Roman" w:hAnsi="Arial" w:cs="Arial"/>
                <w:color w:val="525252"/>
                <w:sz w:val="18"/>
                <w:szCs w:val="18"/>
                <w:lang w:eastAsia="pl-PL"/>
              </w:rPr>
              <w:t xml:space="preserve"> I, 1999. „Chłopiec do bicia: krytyka mass mediów w świetle koncepcji Johna Thompsona”, Kultura i Społeczeństwo, vol. XLIII, nr 3, 103-119</w:t>
            </w:r>
          </w:p>
        </w:tc>
      </w:tr>
    </w:tbl>
    <w:p w:rsidR="00B95475" w:rsidRDefault="00B95475"/>
    <w:sectPr w:rsidR="00B9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8"/>
    <w:rsid w:val="00B95475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2F0C-1E79-4DEB-92B3-84DC28C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5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0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5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Mazurowski</dc:creator>
  <cp:keywords/>
  <dc:description/>
  <cp:lastModifiedBy>Grzegorz Mazurowski</cp:lastModifiedBy>
  <cp:revision>1</cp:revision>
  <dcterms:created xsi:type="dcterms:W3CDTF">2015-03-09T09:20:00Z</dcterms:created>
  <dcterms:modified xsi:type="dcterms:W3CDTF">2015-03-09T09:21:00Z</dcterms:modified>
</cp:coreProperties>
</file>