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3C" w:rsidRPr="00103A85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Bold"/>
          <w:b/>
          <w:bCs/>
          <w:caps/>
          <w:color w:val="000000"/>
          <w:sz w:val="28"/>
          <w:szCs w:val="20"/>
        </w:rPr>
      </w:pPr>
      <w:r>
        <w:rPr>
          <w:rFonts w:ascii="Arial" w:hAnsi="Arial" w:cs="ZapfCalligrPL-Bold"/>
          <w:b/>
          <w:bCs/>
          <w:caps/>
          <w:color w:val="000000"/>
          <w:sz w:val="28"/>
          <w:szCs w:val="20"/>
        </w:rPr>
        <w:t>658 Organizacja przedsiębiorstwa. Organizacja i technika handlu</w:t>
      </w:r>
      <w:r>
        <w:rPr>
          <w:rFonts w:ascii="Arial" w:hAnsi="Arial" w:cs="ZapfCalligrPL-Bold"/>
          <w:b/>
          <w:bCs/>
          <w:caps/>
          <w:color w:val="000000"/>
          <w:sz w:val="28"/>
          <w:szCs w:val="20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planowanych na 2017 r. (symbole dodane i zmodyfikowane)</w:t>
      </w:r>
      <w:bookmarkStart w:id="0" w:name="_GoBack"/>
      <w:bookmarkEnd w:id="0"/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658.1/.5</w:t>
      </w:r>
      <w:r>
        <w:rPr>
          <w:rFonts w:ascii="Arial" w:hAnsi="Arial" w:cs="ZapfCalligrPL-Roman"/>
          <w:color w:val="000000"/>
          <w:sz w:val="28"/>
          <w:szCs w:val="20"/>
        </w:rPr>
        <w:t xml:space="preserve"> Zarządzanie przedsiębiorstwem. Organizacja przedsiębiorstwa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b/>
          <w:color w:val="00B050"/>
          <w:sz w:val="28"/>
          <w:szCs w:val="20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8"/>
          <w:szCs w:val="20"/>
        </w:rPr>
      </w:pPr>
      <w:r w:rsidRPr="00DA4C00">
        <w:rPr>
          <w:rFonts w:ascii="Arial" w:hAnsi="Arial" w:cs="ZapfCalligrPL-Roman"/>
          <w:b/>
          <w:sz w:val="28"/>
          <w:szCs w:val="20"/>
        </w:rPr>
        <w:t xml:space="preserve">658.114.2 </w:t>
      </w:r>
      <w:r w:rsidRPr="00DA4C00">
        <w:rPr>
          <w:rFonts w:ascii="Arial" w:hAnsi="Arial" w:cs="ZapfCalligrPL-Roman"/>
          <w:sz w:val="28"/>
          <w:szCs w:val="20"/>
        </w:rPr>
        <w:t xml:space="preserve">Spółki </w:t>
      </w:r>
      <w:r>
        <w:rPr>
          <w:rFonts w:ascii="Arial" w:hAnsi="Arial" w:cs="ZapfCalligrPL-Roman"/>
          <w:sz w:val="28"/>
          <w:szCs w:val="20"/>
        </w:rPr>
        <w:t>osobowe</w:t>
      </w:r>
    </w:p>
    <w:p w:rsidR="00607E3C" w:rsidRDefault="00DA4C00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sz w:val="28"/>
          <w:szCs w:val="16"/>
        </w:rPr>
      </w:pPr>
      <w:r w:rsidRPr="00DA4C00">
        <w:rPr>
          <w:rFonts w:ascii="Arial" w:hAnsi="Arial" w:cs="ZapfCalligrPL-Italic"/>
          <w:iCs/>
          <w:sz w:val="28"/>
          <w:szCs w:val="16"/>
        </w:rPr>
        <w:t>z</w:t>
      </w:r>
      <w:r w:rsidR="00607E3C" w:rsidRPr="00DA4C00">
        <w:rPr>
          <w:rFonts w:ascii="Arial" w:hAnsi="Arial" w:cs="ZapfCalligrPL-Italic"/>
          <w:iCs/>
          <w:sz w:val="28"/>
          <w:szCs w:val="16"/>
        </w:rPr>
        <w:t xml:space="preserve">ob. też </w:t>
      </w:r>
      <w:r w:rsidR="00607E3C">
        <w:rPr>
          <w:rFonts w:ascii="Arial" w:hAnsi="Arial" w:cs="ZapfCalligrPL-Italic"/>
          <w:b/>
          <w:iCs/>
          <w:sz w:val="28"/>
          <w:szCs w:val="16"/>
        </w:rPr>
        <w:t>347.72</w:t>
      </w:r>
      <w:r w:rsidR="00607E3C">
        <w:rPr>
          <w:rFonts w:ascii="Arial" w:hAnsi="Arial" w:cs="ZapfCalligrPL-Italic"/>
          <w:iCs/>
          <w:sz w:val="28"/>
          <w:szCs w:val="16"/>
        </w:rPr>
        <w:t xml:space="preserve"> Spółki prawa handlowego (prawo) 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/>
          <w:iCs/>
          <w:color w:val="C00000"/>
          <w:sz w:val="28"/>
          <w:szCs w:val="16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b/>
          <w:color w:val="00B050"/>
          <w:sz w:val="28"/>
          <w:szCs w:val="20"/>
        </w:rPr>
      </w:pPr>
      <w:r w:rsidRPr="00DA4C00">
        <w:rPr>
          <w:rFonts w:ascii="Arial" w:hAnsi="Arial" w:cs="ZapfCalligrPL-Roman"/>
          <w:b/>
          <w:sz w:val="28"/>
          <w:szCs w:val="20"/>
        </w:rPr>
        <w:t>658.114.3/.4</w:t>
      </w:r>
      <w:r w:rsidRPr="00DA4C00">
        <w:rPr>
          <w:rFonts w:ascii="Arial" w:hAnsi="Arial" w:cs="ZapfCalligrPL-Roman"/>
          <w:sz w:val="28"/>
          <w:szCs w:val="20"/>
        </w:rPr>
        <w:t xml:space="preserve"> </w:t>
      </w:r>
      <w:r>
        <w:rPr>
          <w:rFonts w:ascii="Arial" w:hAnsi="Arial" w:cs="ZapfCalligrPL-Roman"/>
          <w:color w:val="000000" w:themeColor="text1"/>
          <w:sz w:val="28"/>
          <w:szCs w:val="20"/>
        </w:rPr>
        <w:t>Spółki kapitałowe</w:t>
      </w:r>
      <w:r>
        <w:rPr>
          <w:rFonts w:ascii="Arial" w:hAnsi="Arial" w:cs="ZapfCalligrPL-Roman"/>
          <w:b/>
          <w:color w:val="000000" w:themeColor="text1"/>
          <w:sz w:val="28"/>
          <w:szCs w:val="20"/>
        </w:rPr>
        <w:t>.</w:t>
      </w:r>
      <w:r>
        <w:rPr>
          <w:rFonts w:ascii="Arial" w:hAnsi="Arial" w:cs="ZapfCalligrPL-Roman"/>
          <w:i/>
          <w:color w:val="000000" w:themeColor="text1"/>
          <w:sz w:val="28"/>
          <w:szCs w:val="20"/>
        </w:rPr>
        <w:t xml:space="preserve"> </w:t>
      </w:r>
      <w:r>
        <w:rPr>
          <w:rFonts w:ascii="Arial" w:hAnsi="Arial" w:cs="ZapfCalligrPL-Roman"/>
          <w:color w:val="000000" w:themeColor="text1"/>
          <w:sz w:val="28"/>
          <w:szCs w:val="20"/>
        </w:rPr>
        <w:t xml:space="preserve">Spółki z ograniczoną odpowiedzialnością. Spółki akcyjne </w:t>
      </w:r>
    </w:p>
    <w:p w:rsidR="00607E3C" w:rsidRPr="00DA4C00" w:rsidRDefault="00DA4C00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/>
          <w:iCs/>
          <w:color w:val="C00000"/>
          <w:sz w:val="28"/>
          <w:szCs w:val="16"/>
        </w:rPr>
      </w:pPr>
      <w:r w:rsidRPr="00DA4C00">
        <w:rPr>
          <w:rFonts w:ascii="Arial" w:hAnsi="Arial" w:cs="ZapfCalligrPL-Italic"/>
          <w:iCs/>
          <w:sz w:val="28"/>
          <w:szCs w:val="16"/>
        </w:rPr>
        <w:t>z</w:t>
      </w:r>
      <w:r w:rsidR="00607E3C" w:rsidRPr="00DA4C00">
        <w:rPr>
          <w:rFonts w:ascii="Arial" w:hAnsi="Arial" w:cs="ZapfCalligrPL-Italic"/>
          <w:iCs/>
          <w:sz w:val="28"/>
          <w:szCs w:val="16"/>
        </w:rPr>
        <w:t>ob. też</w:t>
      </w:r>
      <w:r w:rsidR="00607E3C" w:rsidRPr="00DA4C00">
        <w:rPr>
          <w:rFonts w:ascii="Arial" w:hAnsi="Arial" w:cs="ZapfCalligrPL-Italic"/>
          <w:i/>
          <w:iCs/>
          <w:sz w:val="28"/>
          <w:szCs w:val="16"/>
        </w:rPr>
        <w:t xml:space="preserve"> </w:t>
      </w:r>
      <w:r w:rsidR="00607E3C">
        <w:rPr>
          <w:rFonts w:ascii="Arial" w:hAnsi="Arial" w:cs="ZapfCalligrPL-Italic"/>
          <w:b/>
          <w:i/>
          <w:iCs/>
          <w:color w:val="000000" w:themeColor="text1"/>
          <w:sz w:val="28"/>
          <w:szCs w:val="16"/>
        </w:rPr>
        <w:t>3</w:t>
      </w:r>
      <w:r w:rsidR="00607E3C">
        <w:rPr>
          <w:rFonts w:ascii="Arial" w:hAnsi="Arial" w:cs="ZapfCalligrPL-Italic"/>
          <w:b/>
          <w:iCs/>
          <w:color w:val="000000" w:themeColor="text1"/>
          <w:sz w:val="28"/>
          <w:szCs w:val="16"/>
        </w:rPr>
        <w:t>47.72</w:t>
      </w:r>
      <w:r w:rsidR="00607E3C">
        <w:rPr>
          <w:rFonts w:ascii="Arial" w:hAnsi="Arial" w:cs="ZapfCalligrPL-Italic"/>
          <w:iCs/>
          <w:color w:val="000000" w:themeColor="text1"/>
          <w:sz w:val="28"/>
          <w:szCs w:val="16"/>
        </w:rPr>
        <w:t xml:space="preserve"> </w:t>
      </w:r>
      <w:r w:rsidR="00607E3C">
        <w:rPr>
          <w:rFonts w:ascii="Arial" w:hAnsi="Arial" w:cs="ZapfCalligrPL-Italic"/>
          <w:iCs/>
          <w:sz w:val="28"/>
          <w:szCs w:val="16"/>
        </w:rPr>
        <w:t>Spółki prawa handlowego (prawo)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b/>
          <w:i/>
          <w:iCs/>
          <w:color w:val="C00000"/>
          <w:sz w:val="28"/>
          <w:szCs w:val="16"/>
        </w:rPr>
      </w:pP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b/>
          <w:sz w:val="28"/>
          <w:szCs w:val="20"/>
        </w:rPr>
      </w:pPr>
      <w:r>
        <w:rPr>
          <w:rFonts w:ascii="Arial" w:hAnsi="Arial" w:cs="ZapfCalligrPL-Roman"/>
          <w:b/>
          <w:sz w:val="28"/>
          <w:szCs w:val="20"/>
        </w:rPr>
        <w:t xml:space="preserve">658.114.5 </w:t>
      </w:r>
      <w:r>
        <w:rPr>
          <w:rFonts w:ascii="Arial" w:hAnsi="Arial" w:cs="ZapfCalligrPL-Roman"/>
          <w:sz w:val="28"/>
          <w:szCs w:val="20"/>
        </w:rPr>
        <w:t xml:space="preserve">Formy integracji przedsiębiorstw </w:t>
      </w:r>
      <w:r w:rsidRPr="00DA4C00">
        <w:rPr>
          <w:rFonts w:ascii="Arial" w:hAnsi="Arial" w:cs="ZapfCalligrPL-Roman"/>
          <w:sz w:val="28"/>
          <w:szCs w:val="20"/>
        </w:rPr>
        <w:t>(alianse)</w:t>
      </w:r>
      <w:r w:rsidRPr="00DA4C00">
        <w:rPr>
          <w:rFonts w:ascii="Arial" w:hAnsi="Arial" w:cs="ZapfCalligrPL-Roman"/>
          <w:b/>
          <w:sz w:val="28"/>
          <w:szCs w:val="20"/>
        </w:rPr>
        <w:t xml:space="preserve"> </w:t>
      </w: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 w:themeColor="text1"/>
          <w:sz w:val="24"/>
          <w:szCs w:val="24"/>
        </w:rPr>
      </w:pPr>
      <w:r w:rsidRPr="00DA4C00">
        <w:rPr>
          <w:rFonts w:ascii="Arial" w:hAnsi="Arial" w:cs="ZapfCalligrPL-Roman"/>
          <w:color w:val="000000" w:themeColor="text1"/>
          <w:sz w:val="24"/>
          <w:szCs w:val="24"/>
        </w:rPr>
        <w:t xml:space="preserve">Syndykaty. Holdingi. Koncerny. Konsorcja. Joint </w:t>
      </w:r>
      <w:proofErr w:type="spellStart"/>
      <w:r w:rsidRPr="00DA4C00">
        <w:rPr>
          <w:rFonts w:ascii="Arial" w:hAnsi="Arial" w:cs="ZapfCalligrPL-Roman"/>
          <w:color w:val="000000" w:themeColor="text1"/>
          <w:sz w:val="24"/>
          <w:szCs w:val="24"/>
        </w:rPr>
        <w:t>ventures</w:t>
      </w:r>
      <w:proofErr w:type="spellEnd"/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b/>
          <w:i/>
          <w:iCs/>
          <w:sz w:val="28"/>
          <w:szCs w:val="16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 w:themeColor="text1"/>
          <w:sz w:val="28"/>
          <w:szCs w:val="20"/>
        </w:rPr>
      </w:pPr>
      <w:r w:rsidRPr="00DA4C00">
        <w:rPr>
          <w:rFonts w:ascii="Arial" w:hAnsi="Arial" w:cs="ZapfCalligrPL-Roman"/>
          <w:b/>
          <w:sz w:val="28"/>
          <w:szCs w:val="20"/>
        </w:rPr>
        <w:t xml:space="preserve">658.114.6 </w:t>
      </w:r>
      <w:r>
        <w:rPr>
          <w:rFonts w:ascii="Arial" w:hAnsi="Arial" w:cs="ZapfCalligrPL-Roman"/>
          <w:color w:val="000000" w:themeColor="text1"/>
          <w:sz w:val="28"/>
          <w:szCs w:val="20"/>
        </w:rPr>
        <w:t>Prywatne monopole produkcyjne. Kartele. Trusty</w:t>
      </w:r>
    </w:p>
    <w:p w:rsidR="00607E3C" w:rsidRDefault="00DA4C00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/>
          <w:iCs/>
          <w:color w:val="C00000"/>
          <w:sz w:val="28"/>
          <w:szCs w:val="16"/>
        </w:rPr>
      </w:pPr>
      <w:r>
        <w:rPr>
          <w:rFonts w:ascii="Arial" w:hAnsi="Arial" w:cs="ZapfCalligrPL-Italic"/>
          <w:iCs/>
          <w:sz w:val="28"/>
          <w:szCs w:val="16"/>
        </w:rPr>
        <w:t>z</w:t>
      </w:r>
      <w:r w:rsidR="00607E3C" w:rsidRPr="00DA4C00">
        <w:rPr>
          <w:rFonts w:ascii="Arial" w:hAnsi="Arial" w:cs="ZapfCalligrPL-Italic"/>
          <w:iCs/>
          <w:sz w:val="28"/>
          <w:szCs w:val="16"/>
        </w:rPr>
        <w:t>ob. też</w:t>
      </w:r>
      <w:r w:rsidR="00607E3C" w:rsidRPr="00DA4C00">
        <w:rPr>
          <w:rFonts w:ascii="Arial" w:hAnsi="Arial" w:cs="ZapfCalligrPL-Italic"/>
          <w:i/>
          <w:iCs/>
          <w:sz w:val="28"/>
          <w:szCs w:val="16"/>
        </w:rPr>
        <w:t xml:space="preserve"> </w:t>
      </w:r>
      <w:r w:rsidR="00607E3C">
        <w:rPr>
          <w:rFonts w:ascii="Arial" w:hAnsi="Arial" w:cs="ZapfCalligrPL-Italic"/>
          <w:b/>
          <w:iCs/>
          <w:color w:val="000000" w:themeColor="text1"/>
          <w:sz w:val="28"/>
          <w:szCs w:val="16"/>
        </w:rPr>
        <w:t>334.75</w:t>
      </w:r>
      <w:r w:rsidR="00607E3C">
        <w:rPr>
          <w:rFonts w:ascii="Arial" w:hAnsi="Arial" w:cs="ZapfCalligrPL-Italic"/>
          <w:iCs/>
          <w:color w:val="000000" w:themeColor="text1"/>
          <w:sz w:val="28"/>
          <w:szCs w:val="16"/>
        </w:rPr>
        <w:t xml:space="preserve"> Związki gospodarcze ponadzakładowe w gospodarce rynkowej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b/>
          <w:color w:val="0070C0"/>
          <w:sz w:val="28"/>
          <w:szCs w:val="20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b/>
          <w:color w:val="0070C0"/>
          <w:sz w:val="28"/>
          <w:szCs w:val="20"/>
        </w:rPr>
      </w:pPr>
      <w:r w:rsidRPr="00DA4C00">
        <w:rPr>
          <w:rFonts w:ascii="Arial" w:hAnsi="Arial" w:cs="ZapfCalligrPL-Roman"/>
          <w:b/>
          <w:sz w:val="28"/>
          <w:szCs w:val="20"/>
        </w:rPr>
        <w:t xml:space="preserve">658.114.7 </w:t>
      </w:r>
      <w:r>
        <w:rPr>
          <w:rFonts w:ascii="Arial" w:hAnsi="Arial" w:cs="ZapfCalligrPL-Roman"/>
          <w:sz w:val="28"/>
          <w:szCs w:val="20"/>
        </w:rPr>
        <w:t>Spółdzielnie</w:t>
      </w:r>
      <w:r>
        <w:rPr>
          <w:rFonts w:ascii="Arial" w:hAnsi="Arial" w:cs="ZapfCalligrPL-Roman"/>
          <w:b/>
          <w:color w:val="0070C0"/>
          <w:sz w:val="28"/>
          <w:szCs w:val="20"/>
        </w:rPr>
        <w:t xml:space="preserve"> </w:t>
      </w:r>
    </w:p>
    <w:p w:rsidR="00607E3C" w:rsidRDefault="00DA4C00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b/>
          <w:iCs/>
          <w:color w:val="CC00CC"/>
          <w:sz w:val="28"/>
          <w:szCs w:val="16"/>
        </w:rPr>
      </w:pPr>
      <w:r>
        <w:rPr>
          <w:rFonts w:ascii="Arial" w:hAnsi="Arial" w:cs="ZapfCalligrPL-Italic"/>
          <w:iCs/>
          <w:sz w:val="28"/>
          <w:szCs w:val="16"/>
        </w:rPr>
        <w:t>z</w:t>
      </w:r>
      <w:r w:rsidR="00607E3C" w:rsidRPr="00DA4C00">
        <w:rPr>
          <w:rFonts w:ascii="Arial" w:hAnsi="Arial" w:cs="ZapfCalligrPL-Italic"/>
          <w:iCs/>
          <w:sz w:val="28"/>
          <w:szCs w:val="16"/>
        </w:rPr>
        <w:t>ob. też</w:t>
      </w:r>
      <w:r w:rsidR="00607E3C" w:rsidRPr="00DA4C00">
        <w:rPr>
          <w:rFonts w:ascii="Arial" w:hAnsi="Arial" w:cs="ZapfCalligrPL-Italic"/>
          <w:b/>
          <w:iCs/>
          <w:sz w:val="28"/>
          <w:szCs w:val="16"/>
        </w:rPr>
        <w:t xml:space="preserve"> </w:t>
      </w:r>
      <w:r w:rsidR="00607E3C">
        <w:rPr>
          <w:rFonts w:ascii="Arial" w:hAnsi="Arial" w:cs="ZapfCalligrPL-Italic"/>
          <w:b/>
          <w:iCs/>
          <w:color w:val="000000" w:themeColor="text1"/>
          <w:sz w:val="28"/>
          <w:szCs w:val="16"/>
        </w:rPr>
        <w:t xml:space="preserve">334.73 </w:t>
      </w:r>
      <w:r w:rsidR="00607E3C">
        <w:rPr>
          <w:rFonts w:ascii="Arial" w:hAnsi="Arial" w:cs="ZapfCalligrPL-Italic"/>
          <w:iCs/>
          <w:color w:val="000000" w:themeColor="text1"/>
          <w:sz w:val="28"/>
          <w:szCs w:val="16"/>
        </w:rPr>
        <w:t>Spółdzielczość. Spółdzielnie</w:t>
      </w:r>
    </w:p>
    <w:p w:rsidR="00607E3C" w:rsidRDefault="00607E3C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color w:val="000000"/>
          <w:sz w:val="28"/>
          <w:szCs w:val="16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658.14/.17</w:t>
      </w:r>
      <w:r>
        <w:rPr>
          <w:rFonts w:ascii="Arial" w:hAnsi="Arial" w:cs="ZapfCalligrPL-Roman"/>
          <w:color w:val="000000"/>
          <w:sz w:val="28"/>
          <w:szCs w:val="20"/>
        </w:rPr>
        <w:t xml:space="preserve"> Zagadnienia finansowe przedsiębiorstwa</w:t>
      </w: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4"/>
          <w:szCs w:val="24"/>
        </w:rPr>
      </w:pPr>
      <w:r w:rsidRPr="00DA4C00">
        <w:rPr>
          <w:rFonts w:ascii="Arial" w:hAnsi="Arial" w:cs="ZapfCalligrPL-Roman"/>
          <w:color w:val="000000"/>
          <w:sz w:val="24"/>
          <w:szCs w:val="24"/>
        </w:rPr>
        <w:t>Finansowanie przedsiębiorstw. Tworzenie kapitału. Podwyższanie kapitału.</w:t>
      </w:r>
      <w:r w:rsidRPr="00DA4C00">
        <w:rPr>
          <w:rFonts w:ascii="Arial" w:hAnsi="Arial" w:cs="ZapfCalligrPL-Roman"/>
          <w:sz w:val="24"/>
          <w:szCs w:val="24"/>
        </w:rPr>
        <w:t xml:space="preserve"> </w:t>
      </w:r>
      <w:r w:rsidRPr="00DA4C00">
        <w:rPr>
          <w:rFonts w:ascii="Arial" w:hAnsi="Arial" w:cs="ZapfCalligrPL-Roman"/>
          <w:color w:val="000000"/>
          <w:sz w:val="24"/>
          <w:szCs w:val="24"/>
        </w:rPr>
        <w:t>Kapitał własny. Kapitał akcyjny.</w:t>
      </w:r>
      <w:r w:rsidRPr="00DA4C00">
        <w:rPr>
          <w:rFonts w:ascii="Arial" w:hAnsi="Arial" w:cs="ZapfCalligrPL-Roman"/>
          <w:sz w:val="24"/>
          <w:szCs w:val="24"/>
        </w:rPr>
        <w:t xml:space="preserve"> Koszty obce (nie związane z produkcją). Wydatki na działalność kulturalną, socjalną, polityczną</w:t>
      </w:r>
      <w:r w:rsidR="00DA4C00">
        <w:rPr>
          <w:rFonts w:ascii="Arial" w:hAnsi="Arial" w:cs="ZapfCalligrPL-Roman"/>
          <w:sz w:val="24"/>
          <w:szCs w:val="24"/>
        </w:rPr>
        <w:t xml:space="preserve">. </w:t>
      </w:r>
      <w:r w:rsidRPr="00DA4C00">
        <w:rPr>
          <w:rFonts w:ascii="Arial" w:hAnsi="Arial" w:cs="ZapfCalligrPL-Roman"/>
          <w:sz w:val="24"/>
          <w:szCs w:val="24"/>
        </w:rPr>
        <w:t>Reorganizacja finansowa przedsiębiorstwa. Rekonstrukcja finansowa. Fuzja. Połączenie. Włączenie</w:t>
      </w:r>
    </w:p>
    <w:p w:rsidR="00DA4C00" w:rsidRPr="00DA4C00" w:rsidRDefault="00DA4C00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sz w:val="28"/>
          <w:szCs w:val="16"/>
        </w:rPr>
      </w:pPr>
      <w:r w:rsidRPr="00DA4C00">
        <w:rPr>
          <w:rFonts w:ascii="Arial" w:hAnsi="Arial" w:cs="ZapfCalligrPL-Italic"/>
          <w:iCs/>
          <w:sz w:val="28"/>
          <w:szCs w:val="16"/>
        </w:rPr>
        <w:t>z</w:t>
      </w:r>
      <w:r w:rsidR="00607E3C" w:rsidRPr="00DA4C00">
        <w:rPr>
          <w:rFonts w:ascii="Arial" w:hAnsi="Arial" w:cs="ZapfCalligrPL-Italic"/>
          <w:iCs/>
          <w:sz w:val="28"/>
          <w:szCs w:val="16"/>
        </w:rPr>
        <w:t xml:space="preserve">ob. też </w:t>
      </w:r>
    </w:p>
    <w:p w:rsidR="00607E3C" w:rsidRDefault="00607E3C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16"/>
        </w:rPr>
      </w:pPr>
      <w:r>
        <w:rPr>
          <w:rFonts w:ascii="Arial" w:hAnsi="Arial" w:cs="ZapfCalligrPL-Italic"/>
          <w:b/>
          <w:iCs/>
          <w:sz w:val="28"/>
          <w:szCs w:val="16"/>
        </w:rPr>
        <w:t xml:space="preserve">330.14 </w:t>
      </w:r>
      <w:r>
        <w:rPr>
          <w:rFonts w:ascii="Arial" w:hAnsi="Arial" w:cs="ZapfCalligrPL-Italic"/>
          <w:iCs/>
          <w:sz w:val="28"/>
          <w:szCs w:val="16"/>
        </w:rPr>
        <w:t>Kapitał</w:t>
      </w:r>
    </w:p>
    <w:p w:rsidR="00607E3C" w:rsidRDefault="00607E3C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sz w:val="28"/>
          <w:szCs w:val="16"/>
        </w:rPr>
      </w:pPr>
      <w:r>
        <w:rPr>
          <w:rFonts w:ascii="Arial" w:hAnsi="Arial" w:cs="ZapfCalligrPL-Italic"/>
          <w:b/>
          <w:iCs/>
          <w:sz w:val="28"/>
          <w:szCs w:val="16"/>
        </w:rPr>
        <w:t xml:space="preserve">657.41/.45 </w:t>
      </w:r>
      <w:r>
        <w:rPr>
          <w:rFonts w:ascii="Arial" w:hAnsi="Arial" w:cs="ZapfCalligrPL-Italic"/>
          <w:iCs/>
          <w:sz w:val="28"/>
          <w:szCs w:val="16"/>
        </w:rPr>
        <w:t>Rachunkowość finansowa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i/>
          <w:color w:val="C00000"/>
          <w:sz w:val="28"/>
          <w:szCs w:val="20"/>
        </w:rPr>
      </w:pP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658.15</w:t>
      </w:r>
      <w:r>
        <w:rPr>
          <w:rFonts w:ascii="Arial" w:hAnsi="Arial" w:cs="ZapfCalligrPL-Roman"/>
          <w:color w:val="000000"/>
          <w:sz w:val="28"/>
          <w:szCs w:val="20"/>
        </w:rPr>
        <w:t xml:space="preserve"> Zarzadzanie finansami przedsiębiorstwa</w:t>
      </w:r>
      <w:r>
        <w:rPr>
          <w:rFonts w:ascii="Arial" w:hAnsi="Arial" w:cs="ZapfCalligrPL-Roman"/>
          <w:color w:val="0070C0"/>
          <w:sz w:val="28"/>
          <w:szCs w:val="20"/>
        </w:rPr>
        <w:t xml:space="preserve">. </w:t>
      </w:r>
      <w:r w:rsidRPr="00DA4C00">
        <w:rPr>
          <w:rFonts w:ascii="Arial" w:hAnsi="Arial" w:cs="ZapfCalligrPL-Roman"/>
          <w:sz w:val="28"/>
          <w:szCs w:val="20"/>
        </w:rPr>
        <w:t>Kierowanie finansami przedsiębiorstwa</w:t>
      </w: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4"/>
          <w:szCs w:val="24"/>
        </w:rPr>
      </w:pPr>
      <w:r w:rsidRPr="00DA4C00">
        <w:rPr>
          <w:rFonts w:ascii="Arial" w:hAnsi="Arial" w:cs="ZapfCalligrPL-Roman"/>
          <w:sz w:val="24"/>
          <w:szCs w:val="24"/>
        </w:rPr>
        <w:t>Inwestycja kapitału (kapitał inwestycyjny). Aktywa (środki) trwałe. Wykorzystanie funduszy. Aktywa obrotowe (kapitał obrotowy). Środki obrotowe. Aktywa płynne. Kapitał firmy. Zyski. Straty. Rezerwy. Dochodowość. Podział zysków. Dywidendy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658.2</w:t>
      </w:r>
      <w:r>
        <w:rPr>
          <w:rFonts w:ascii="Arial" w:hAnsi="Arial" w:cs="ZapfCalligrPL-Roman"/>
          <w:color w:val="000000"/>
          <w:sz w:val="28"/>
          <w:szCs w:val="20"/>
        </w:rPr>
        <w:t xml:space="preserve"> Zakłady, fabryki, warsztaty: budynki, urządzenia, środki produkcji</w:t>
      </w: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70C0"/>
          <w:sz w:val="24"/>
          <w:szCs w:val="24"/>
        </w:rPr>
      </w:pPr>
      <w:r w:rsidRPr="00DA4C00">
        <w:rPr>
          <w:rFonts w:ascii="Arial" w:hAnsi="Arial" w:cs="ZapfCalligrPL-Roman"/>
          <w:color w:val="000000"/>
          <w:sz w:val="24"/>
          <w:szCs w:val="24"/>
        </w:rPr>
        <w:t xml:space="preserve">Lokalizacja. </w:t>
      </w:r>
      <w:r w:rsidRPr="00DA4C00">
        <w:rPr>
          <w:rFonts w:ascii="Arial" w:hAnsi="Arial" w:cs="ZapfCalligrPL-Roman"/>
          <w:sz w:val="24"/>
          <w:szCs w:val="24"/>
        </w:rPr>
        <w:t>Zaopatrzenie w energię cieplną i wodę.</w:t>
      </w:r>
      <w:r w:rsidRPr="00DA4C00">
        <w:rPr>
          <w:sz w:val="24"/>
          <w:szCs w:val="24"/>
        </w:rPr>
        <w:t xml:space="preserve"> </w:t>
      </w:r>
      <w:r w:rsidRPr="00DA4C00">
        <w:rPr>
          <w:rFonts w:ascii="Arial" w:hAnsi="Arial" w:cs="ZapfCalligrPL-Roman"/>
          <w:sz w:val="24"/>
          <w:szCs w:val="24"/>
        </w:rPr>
        <w:t>Przemieszczanie materiałów, przekazywanie, transport</w:t>
      </w:r>
    </w:p>
    <w:p w:rsidR="00607E3C" w:rsidRPr="00DA4C00" w:rsidRDefault="00DA4C00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sz w:val="28"/>
          <w:szCs w:val="16"/>
        </w:rPr>
      </w:pPr>
      <w:r>
        <w:rPr>
          <w:rFonts w:ascii="Arial" w:hAnsi="Arial" w:cs="ZapfCalligrPL-Italic"/>
          <w:iCs/>
          <w:sz w:val="28"/>
          <w:szCs w:val="16"/>
        </w:rPr>
        <w:t>z</w:t>
      </w:r>
      <w:r w:rsidR="00607E3C" w:rsidRPr="00DA4C00">
        <w:rPr>
          <w:rFonts w:ascii="Arial" w:hAnsi="Arial" w:cs="ZapfCalligrPL-Italic"/>
          <w:iCs/>
          <w:sz w:val="28"/>
          <w:szCs w:val="16"/>
        </w:rPr>
        <w:t xml:space="preserve">ob. też </w:t>
      </w:r>
    </w:p>
    <w:p w:rsidR="00607E3C" w:rsidRDefault="00607E3C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005.93</w:t>
      </w:r>
      <w:r>
        <w:rPr>
          <w:rFonts w:ascii="Arial" w:hAnsi="Arial" w:cs="ZapfCalligrPL-Roman"/>
          <w:color w:val="000000"/>
          <w:sz w:val="28"/>
          <w:szCs w:val="20"/>
        </w:rPr>
        <w:t xml:space="preserve"> Zarządzanie urządzeniami. Zarządzanie środkami technicznymi</w:t>
      </w:r>
    </w:p>
    <w:p w:rsidR="00607E3C" w:rsidRDefault="00607E3C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16"/>
        </w:rPr>
      </w:pPr>
      <w:r>
        <w:rPr>
          <w:rFonts w:ascii="Arial" w:hAnsi="Arial" w:cs="ZapfCalligrPL-Roman"/>
          <w:b/>
          <w:color w:val="000000"/>
          <w:sz w:val="28"/>
          <w:szCs w:val="16"/>
        </w:rPr>
        <w:lastRenderedPageBreak/>
        <w:t xml:space="preserve">725 </w:t>
      </w:r>
      <w:r>
        <w:rPr>
          <w:rFonts w:ascii="Arial" w:hAnsi="Arial" w:cs="ZapfCalligrPL-Roman"/>
          <w:color w:val="000000"/>
          <w:sz w:val="28"/>
          <w:szCs w:val="16"/>
        </w:rPr>
        <w:t>Budynki użyteczności publicznej, społeczno-usługowe, handlowe i</w:t>
      </w:r>
      <w:r>
        <w:rPr>
          <w:rFonts w:ascii="Arial" w:hAnsi="Arial" w:cs="ZapfCalligrPL-Roman"/>
          <w:color w:val="000000"/>
          <w:sz w:val="28"/>
          <w:szCs w:val="20"/>
        </w:rPr>
        <w:t xml:space="preserve"> </w:t>
      </w:r>
      <w:r>
        <w:rPr>
          <w:rFonts w:ascii="Arial" w:hAnsi="Arial" w:cs="ZapfCalligrPL-Roman"/>
          <w:color w:val="000000"/>
          <w:sz w:val="28"/>
          <w:szCs w:val="16"/>
        </w:rPr>
        <w:t>przemysłowe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658.5</w:t>
      </w:r>
      <w:r>
        <w:rPr>
          <w:rFonts w:ascii="Arial" w:hAnsi="Arial" w:cs="ZapfCalligrPL-Roman"/>
          <w:color w:val="000000"/>
          <w:sz w:val="28"/>
          <w:szCs w:val="20"/>
        </w:rPr>
        <w:t xml:space="preserve"> Organizacja </w:t>
      </w:r>
      <w:r>
        <w:rPr>
          <w:rFonts w:ascii="Arial" w:hAnsi="Arial" w:cs="ZapfCalligrPL-Roman"/>
          <w:color w:val="0070C0"/>
          <w:sz w:val="28"/>
          <w:szCs w:val="20"/>
        </w:rPr>
        <w:t xml:space="preserve">i </w:t>
      </w:r>
      <w:r w:rsidRPr="00DA4C00">
        <w:rPr>
          <w:rFonts w:ascii="Arial" w:hAnsi="Arial" w:cs="ZapfCalligrPL-Roman"/>
          <w:sz w:val="28"/>
          <w:szCs w:val="20"/>
        </w:rPr>
        <w:t>planowanie produkcji. Inżynieria produkcji. Projektowanie. Zarzadzanie produkcją i kontrola produkcji</w:t>
      </w: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4"/>
          <w:szCs w:val="24"/>
        </w:rPr>
      </w:pPr>
      <w:r w:rsidRPr="00DA4C00">
        <w:rPr>
          <w:rFonts w:ascii="Arial" w:hAnsi="Arial" w:cs="ZapfCalligrPL-Roman"/>
          <w:sz w:val="24"/>
          <w:szCs w:val="24"/>
        </w:rPr>
        <w:t>Harmonogramowanie. Standaryzacja. Normy wydajności i czasu pracy. Prace konserwacyjno-remontowe. Gospodarka remontowa</w:t>
      </w:r>
    </w:p>
    <w:p w:rsidR="00607E3C" w:rsidRPr="00DA4C00" w:rsidRDefault="00DA4C00" w:rsidP="00DA4C00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b/>
          <w:iCs/>
          <w:color w:val="CC00CC"/>
          <w:sz w:val="28"/>
          <w:szCs w:val="16"/>
        </w:rPr>
      </w:pPr>
      <w:r>
        <w:rPr>
          <w:rFonts w:ascii="Arial" w:hAnsi="Arial" w:cs="ZapfCalligrPL-Italic"/>
          <w:iCs/>
          <w:sz w:val="28"/>
          <w:szCs w:val="16"/>
        </w:rPr>
        <w:t>z</w:t>
      </w:r>
      <w:r w:rsidR="00607E3C" w:rsidRPr="00DA4C00">
        <w:rPr>
          <w:rFonts w:ascii="Arial" w:hAnsi="Arial" w:cs="ZapfCalligrPL-Italic"/>
          <w:iCs/>
          <w:sz w:val="28"/>
          <w:szCs w:val="16"/>
        </w:rPr>
        <w:t>ob. też</w:t>
      </w:r>
      <w:r w:rsidR="00607E3C" w:rsidRPr="00DA4C00">
        <w:rPr>
          <w:rFonts w:ascii="Arial" w:hAnsi="Arial" w:cs="ZapfCalligrPL-Italic"/>
          <w:b/>
          <w:iCs/>
          <w:sz w:val="28"/>
          <w:szCs w:val="16"/>
        </w:rPr>
        <w:t xml:space="preserve"> </w:t>
      </w:r>
      <w:r w:rsidR="00607E3C">
        <w:rPr>
          <w:rFonts w:ascii="Arial" w:hAnsi="Arial" w:cs="ZapfCalligrPL-Italic"/>
          <w:b/>
          <w:iCs/>
          <w:sz w:val="28"/>
          <w:szCs w:val="16"/>
        </w:rPr>
        <w:t xml:space="preserve">330.3 </w:t>
      </w:r>
      <w:r w:rsidR="00607E3C">
        <w:rPr>
          <w:rFonts w:ascii="Arial" w:hAnsi="Arial" w:cs="ZapfCalligrPL-Italic"/>
          <w:iCs/>
          <w:sz w:val="28"/>
          <w:szCs w:val="16"/>
        </w:rPr>
        <w:t>Dynamika gospodarki narodowej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i/>
          <w:color w:val="C00000"/>
          <w:sz w:val="28"/>
          <w:szCs w:val="16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 xml:space="preserve">658.56 </w:t>
      </w:r>
      <w:r>
        <w:rPr>
          <w:rFonts w:ascii="Arial" w:hAnsi="Arial" w:cs="ZapfCalligrPL-Roman"/>
          <w:color w:val="000000"/>
          <w:sz w:val="28"/>
          <w:szCs w:val="20"/>
        </w:rPr>
        <w:t>Kontrola jakości. Kontrola narzędzi, materiałów i produktów</w:t>
      </w:r>
    </w:p>
    <w:p w:rsidR="00607E3C" w:rsidRPr="00DA4C00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4"/>
          <w:szCs w:val="24"/>
        </w:rPr>
      </w:pPr>
      <w:r w:rsidRPr="00DA4C00">
        <w:rPr>
          <w:rFonts w:ascii="Arial" w:hAnsi="Arial" w:cs="ZapfCalligrPL-Roman"/>
          <w:sz w:val="24"/>
          <w:szCs w:val="24"/>
        </w:rPr>
        <w:t>Gospodarka narzędziowa. Gospodarka materiałowa. Braki. Odpady. Złom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b/>
          <w:color w:val="000000"/>
          <w:sz w:val="28"/>
          <w:szCs w:val="20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color w:val="000000"/>
          <w:sz w:val="28"/>
          <w:szCs w:val="20"/>
        </w:rPr>
      </w:pPr>
      <w:r>
        <w:rPr>
          <w:rFonts w:ascii="Arial" w:hAnsi="Arial" w:cs="ZapfCalligrPL-Roman"/>
          <w:b/>
          <w:color w:val="000000"/>
          <w:sz w:val="28"/>
          <w:szCs w:val="20"/>
        </w:rPr>
        <w:t>658.8</w:t>
      </w:r>
      <w:r>
        <w:rPr>
          <w:rFonts w:ascii="Arial" w:hAnsi="Arial" w:cs="ZapfCalligrPL-Roman"/>
          <w:color w:val="000000"/>
          <w:sz w:val="28"/>
          <w:szCs w:val="20"/>
        </w:rPr>
        <w:t xml:space="preserve"> </w:t>
      </w:r>
      <w:r w:rsidRPr="00103A85">
        <w:rPr>
          <w:rFonts w:ascii="Arial" w:hAnsi="Arial" w:cs="ZapfCalligrPL-Roman"/>
          <w:sz w:val="28"/>
          <w:szCs w:val="20"/>
        </w:rPr>
        <w:t xml:space="preserve">Marketing. Obroty. </w:t>
      </w:r>
      <w:r>
        <w:rPr>
          <w:rFonts w:ascii="Arial" w:hAnsi="Arial" w:cs="ZapfCalligrPL-Roman"/>
          <w:color w:val="000000"/>
          <w:sz w:val="28"/>
          <w:szCs w:val="20"/>
        </w:rPr>
        <w:t>Sprzedaż. Zbyt. Rozprowadzanie towarów (dystrybucja)</w:t>
      </w:r>
    </w:p>
    <w:p w:rsidR="00607E3C" w:rsidRPr="00103A85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4"/>
          <w:szCs w:val="24"/>
        </w:rPr>
      </w:pPr>
      <w:r w:rsidRPr="00103A85">
        <w:rPr>
          <w:rFonts w:ascii="Arial" w:hAnsi="Arial" w:cs="ZapfCalligrPL-Roman"/>
          <w:sz w:val="24"/>
          <w:szCs w:val="24"/>
        </w:rPr>
        <w:t>Ceny sprzedaży. Kanały dystrybucji (hurt, detal). Sprzedaż hurtowa, detaliczna, przez pośredników. Płatności. Klient (nabywca) jako obiekt zabiegów handlowych (orientacja na klienta)</w:t>
      </w:r>
    </w:p>
    <w:p w:rsidR="00607E3C" w:rsidRPr="00103A85" w:rsidRDefault="00103A85" w:rsidP="00103A85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sz w:val="28"/>
          <w:szCs w:val="16"/>
        </w:rPr>
      </w:pPr>
      <w:r w:rsidRPr="00103A85">
        <w:rPr>
          <w:rFonts w:ascii="Arial" w:hAnsi="Arial" w:cs="ZapfCalligrPL-Italic"/>
          <w:iCs/>
          <w:sz w:val="28"/>
          <w:szCs w:val="16"/>
        </w:rPr>
        <w:t>z</w:t>
      </w:r>
      <w:r w:rsidR="00607E3C" w:rsidRPr="00103A85">
        <w:rPr>
          <w:rFonts w:ascii="Arial" w:hAnsi="Arial" w:cs="ZapfCalligrPL-Italic"/>
          <w:iCs/>
          <w:sz w:val="28"/>
          <w:szCs w:val="16"/>
        </w:rPr>
        <w:t xml:space="preserve">ob. też </w:t>
      </w:r>
    </w:p>
    <w:p w:rsidR="00607E3C" w:rsidRDefault="00607E3C" w:rsidP="00103A85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sz w:val="28"/>
          <w:szCs w:val="16"/>
        </w:rPr>
      </w:pPr>
      <w:r>
        <w:rPr>
          <w:rFonts w:ascii="Arial" w:hAnsi="Arial" w:cs="ZapfCalligrPL-Italic"/>
          <w:b/>
          <w:iCs/>
          <w:sz w:val="28"/>
          <w:szCs w:val="16"/>
        </w:rPr>
        <w:t xml:space="preserve">339.138 </w:t>
      </w:r>
      <w:r>
        <w:rPr>
          <w:rFonts w:ascii="Arial" w:hAnsi="Arial" w:cs="ZapfCalligrPL-Italic"/>
          <w:iCs/>
          <w:sz w:val="28"/>
          <w:szCs w:val="16"/>
        </w:rPr>
        <w:t>Marketing</w:t>
      </w:r>
    </w:p>
    <w:p w:rsidR="00607E3C" w:rsidRDefault="00607E3C" w:rsidP="00103A85">
      <w:pPr>
        <w:autoSpaceDE w:val="0"/>
        <w:autoSpaceDN w:val="0"/>
        <w:adjustRightInd w:val="0"/>
        <w:spacing w:after="0" w:line="240" w:lineRule="auto"/>
        <w:rPr>
          <w:rFonts w:ascii="Arial" w:hAnsi="Arial" w:cs="ZapfCalligrPL-Italic"/>
          <w:iCs/>
          <w:sz w:val="28"/>
          <w:szCs w:val="16"/>
        </w:rPr>
      </w:pPr>
      <w:r>
        <w:rPr>
          <w:rFonts w:ascii="Arial" w:hAnsi="Arial" w:cs="ZapfCalligrPL-Italic"/>
          <w:b/>
          <w:iCs/>
          <w:sz w:val="28"/>
          <w:szCs w:val="16"/>
        </w:rPr>
        <w:t>366</w:t>
      </w:r>
      <w:r>
        <w:rPr>
          <w:rFonts w:ascii="Arial" w:hAnsi="Arial" w:cs="ZapfCalligrPL-Italic"/>
          <w:iCs/>
          <w:sz w:val="28"/>
          <w:szCs w:val="16"/>
        </w:rPr>
        <w:t xml:space="preserve"> Konsumeryzm</w:t>
      </w: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ZapfCalligrPL-Roman"/>
          <w:sz w:val="28"/>
          <w:szCs w:val="20"/>
        </w:rPr>
      </w:pPr>
    </w:p>
    <w:p w:rsidR="00607E3C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b/>
          <w:color w:val="000000"/>
          <w:sz w:val="28"/>
          <w:szCs w:val="20"/>
        </w:rPr>
      </w:pPr>
      <w:r w:rsidRPr="00103A85">
        <w:rPr>
          <w:rFonts w:ascii="Arial" w:hAnsi="Arial" w:cs="ZapfCalligrPL-Roman"/>
          <w:b/>
          <w:sz w:val="28"/>
          <w:szCs w:val="20"/>
        </w:rPr>
        <w:t xml:space="preserve">658.81 </w:t>
      </w:r>
      <w:r>
        <w:rPr>
          <w:rFonts w:ascii="Arial" w:hAnsi="Arial" w:cs="ZapfCalligrPL-Roman"/>
          <w:color w:val="000000"/>
          <w:sz w:val="28"/>
          <w:szCs w:val="20"/>
        </w:rPr>
        <w:t>Organizacja sprzedaży</w:t>
      </w:r>
    </w:p>
    <w:p w:rsidR="00607E3C" w:rsidRPr="00103A85" w:rsidRDefault="00607E3C" w:rsidP="00607E3C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sz w:val="24"/>
          <w:szCs w:val="24"/>
        </w:rPr>
      </w:pPr>
      <w:r w:rsidRPr="00103A85">
        <w:rPr>
          <w:rFonts w:ascii="Arial" w:hAnsi="Arial" w:cs="ZapfCalligrPL-Roman"/>
          <w:sz w:val="24"/>
          <w:szCs w:val="24"/>
        </w:rPr>
        <w:t>Zarządzanie sprzedażą. Obsługa klienta. Reklamacje</w:t>
      </w:r>
    </w:p>
    <w:p w:rsidR="00607E3C" w:rsidRDefault="00607E3C" w:rsidP="00103A85">
      <w:pPr>
        <w:autoSpaceDE w:val="0"/>
        <w:autoSpaceDN w:val="0"/>
        <w:adjustRightInd w:val="0"/>
        <w:spacing w:after="0" w:line="240" w:lineRule="auto"/>
        <w:rPr>
          <w:rFonts w:ascii="Arial" w:hAnsi="Arial" w:cs="ZapfCalligrPL-Roman"/>
          <w:i/>
          <w:sz w:val="28"/>
          <w:szCs w:val="20"/>
        </w:rPr>
      </w:pPr>
    </w:p>
    <w:p w:rsidR="00607E3C" w:rsidRDefault="00607E3C" w:rsidP="00607E3C">
      <w:pPr>
        <w:spacing w:after="0" w:line="240" w:lineRule="auto"/>
        <w:rPr>
          <w:rFonts w:ascii="Arial" w:hAnsi="Arial" w:cs="ZapfCalligrPL-Italic"/>
          <w:b/>
          <w:iCs/>
          <w:sz w:val="28"/>
          <w:szCs w:val="16"/>
        </w:rPr>
      </w:pPr>
      <w:r w:rsidRPr="00103A85">
        <w:rPr>
          <w:rFonts w:ascii="Arial" w:hAnsi="Arial" w:cs="ZapfCalligrPL-Italic"/>
          <w:b/>
          <w:iCs/>
          <w:sz w:val="28"/>
          <w:szCs w:val="16"/>
        </w:rPr>
        <w:t>658.9</w:t>
      </w:r>
      <w:r w:rsidRPr="00103A85">
        <w:t xml:space="preserve"> </w:t>
      </w:r>
      <w:r>
        <w:rPr>
          <w:rFonts w:ascii="Arial" w:hAnsi="Arial" w:cs="ZapfCalligrPL-Italic"/>
          <w:iCs/>
          <w:sz w:val="28"/>
          <w:szCs w:val="16"/>
        </w:rPr>
        <w:t>Pozostałe transakcje handlowe</w:t>
      </w:r>
    </w:p>
    <w:p w:rsidR="00607E3C" w:rsidRDefault="00607E3C" w:rsidP="00607E3C">
      <w:pPr>
        <w:spacing w:after="0" w:line="240" w:lineRule="auto"/>
        <w:rPr>
          <w:rFonts w:ascii="Arial" w:hAnsi="Arial" w:cs="ZapfCalligrPL-Italic"/>
          <w:iCs/>
          <w:color w:val="00B050"/>
          <w:sz w:val="28"/>
          <w:szCs w:val="16"/>
        </w:rPr>
      </w:pPr>
    </w:p>
    <w:p w:rsidR="00E3566B" w:rsidRDefault="00E3566B"/>
    <w:sectPr w:rsidR="00E35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5D" w:rsidRDefault="0067715D" w:rsidP="00DA4C00">
      <w:pPr>
        <w:spacing w:after="0" w:line="240" w:lineRule="auto"/>
      </w:pPr>
      <w:r>
        <w:separator/>
      </w:r>
    </w:p>
  </w:endnote>
  <w:endnote w:type="continuationSeparator" w:id="0">
    <w:p w:rsidR="0067715D" w:rsidRDefault="0067715D" w:rsidP="00DA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Calligr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PL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PL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33278"/>
      <w:docPartObj>
        <w:docPartGallery w:val="Page Numbers (Bottom of Page)"/>
        <w:docPartUnique/>
      </w:docPartObj>
    </w:sdtPr>
    <w:sdtContent>
      <w:p w:rsidR="00DA4C00" w:rsidRDefault="00DA4C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A85">
          <w:rPr>
            <w:noProof/>
          </w:rPr>
          <w:t>1</w:t>
        </w:r>
        <w:r>
          <w:fldChar w:fldCharType="end"/>
        </w:r>
      </w:p>
    </w:sdtContent>
  </w:sdt>
  <w:p w:rsidR="00DA4C00" w:rsidRDefault="00DA4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5D" w:rsidRDefault="0067715D" w:rsidP="00DA4C00">
      <w:pPr>
        <w:spacing w:after="0" w:line="240" w:lineRule="auto"/>
      </w:pPr>
      <w:r>
        <w:separator/>
      </w:r>
    </w:p>
  </w:footnote>
  <w:footnote w:type="continuationSeparator" w:id="0">
    <w:p w:rsidR="0067715D" w:rsidRDefault="0067715D" w:rsidP="00DA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C"/>
    <w:rsid w:val="00103A85"/>
    <w:rsid w:val="00607E3C"/>
    <w:rsid w:val="0067715D"/>
    <w:rsid w:val="00DA4C00"/>
    <w:rsid w:val="00E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C00"/>
  </w:style>
  <w:style w:type="paragraph" w:styleId="Stopka">
    <w:name w:val="footer"/>
    <w:basedOn w:val="Normalny"/>
    <w:link w:val="StopkaZnak"/>
    <w:uiPriority w:val="99"/>
    <w:unhideWhenUsed/>
    <w:rsid w:val="00DA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C00"/>
  </w:style>
  <w:style w:type="paragraph" w:styleId="Stopka">
    <w:name w:val="footer"/>
    <w:basedOn w:val="Normalny"/>
    <w:link w:val="StopkaZnak"/>
    <w:uiPriority w:val="99"/>
    <w:unhideWhenUsed/>
    <w:rsid w:val="00DA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2</cp:revision>
  <dcterms:created xsi:type="dcterms:W3CDTF">2015-10-23T12:21:00Z</dcterms:created>
  <dcterms:modified xsi:type="dcterms:W3CDTF">2015-10-23T12:35:00Z</dcterms:modified>
</cp:coreProperties>
</file>